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上机生化实验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4384;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上机生化实验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5408"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5408;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3360"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62336"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6432;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44" w:name="_GoBack"/>
      <w:bookmarkEnd w:id="44"/>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253391"/>
      <w:bookmarkStart w:id="1" w:name="_Toc3116"/>
      <w:bookmarkStart w:id="2" w:name="_Toc169613372"/>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r>
        <w:rPr>
          <w:rFonts w:ascii="Times New Roman" w:hAnsi="Times New Roman"/>
          <w:sz w:val="24"/>
          <w:szCs w:val="24"/>
        </w:rPr>
        <w:t>成都奥创生物科技有限公司</w:t>
      </w:r>
    </w:p>
    <w:p>
      <w:pPr>
        <w:widowControl/>
        <w:jc w:val="left"/>
        <w:rPr>
          <w:rFonts w:ascii="Times New Roman" w:hAnsi="Times New Roman"/>
          <w:sz w:val="24"/>
          <w:szCs w:val="24"/>
        </w:rPr>
      </w:pPr>
      <w:r>
        <w:rPr>
          <w:rFonts w:ascii="Times New Roman" w:hAnsi="Times New Roman"/>
          <w:sz w:val="24"/>
          <w:szCs w:val="24"/>
        </w:rPr>
        <w:br w:type="page"/>
      </w:r>
    </w:p>
    <w:p>
      <w:pPr>
        <w:spacing w:after="120" w:afterLines="50" w:line="360" w:lineRule="auto"/>
        <w:rPr>
          <w:rFonts w:hint="eastAsia"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Times New Roman" w:hAnsi="Times New Roman" w:eastAsia="宋体" w:cs="Times New Roman"/>
          <w:b/>
          <w:bCs/>
          <w:color w:val="auto"/>
          <w:kern w:val="1"/>
          <w:sz w:val="24"/>
          <w:szCs w:val="24"/>
          <w:lang w:val="zh-CN"/>
        </w:rPr>
      </w:sdtEndPr>
      <w:sdtContent>
        <w:p>
          <w:pPr>
            <w:pStyle w:val="61"/>
            <w:jc w:val="center"/>
            <w:rPr>
              <w:color w:val="auto"/>
              <w:sz w:val="44"/>
              <w:szCs w:val="44"/>
            </w:rPr>
          </w:pPr>
          <w:r>
            <w:rPr>
              <w:color w:val="auto"/>
              <w:sz w:val="44"/>
              <w:szCs w:val="44"/>
              <w:lang w:val="zh-CN"/>
            </w:rPr>
            <w:t>目录</w:t>
          </w:r>
        </w:p>
        <w:p>
          <w:pPr>
            <w:pStyle w:val="12"/>
            <w:tabs>
              <w:tab w:val="right" w:leader="dot" w:pos="9310"/>
            </w:tabs>
            <w:rPr>
              <w:rFonts w:ascii="Times New Roman" w:hAnsi="Times New Roman" w:eastAsiaTheme="minorEastAsia"/>
              <w:kern w:val="2"/>
              <w:sz w:val="24"/>
              <w:szCs w:val="24"/>
              <w14:ligatures w14:val="standardContextual"/>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fldChar w:fldCharType="begin"/>
          </w:r>
          <w:r>
            <w:instrText xml:space="preserve"> HYPERLINK \l "_Toc169613372" </w:instrText>
          </w:r>
          <w:r>
            <w:fldChar w:fldCharType="separate"/>
          </w:r>
          <w:r>
            <w:rPr>
              <w:rStyle w:val="20"/>
              <w:rFonts w:ascii="Times New Roman" w:hAnsi="Times New Roman"/>
              <w:sz w:val="24"/>
              <w:szCs w:val="24"/>
            </w:rPr>
            <w:t>声明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_Toc169613372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left" w:pos="84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"_Toc169613373" </w:instrText>
          </w:r>
          <w:r>
            <w:fldChar w:fldCharType="separate"/>
          </w:r>
          <w:r>
            <w:rPr>
              <w:rStyle w:val="20"/>
              <w:rFonts w:ascii="Times New Roman" w:hAnsi="Times New Roman"/>
              <w:sz w:val="24"/>
              <w:szCs w:val="24"/>
            </w:rPr>
            <w:t>一、样本信息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_Toc169613373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left" w:pos="84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"_Toc169613374" </w:instrText>
          </w:r>
          <w:r>
            <w:fldChar w:fldCharType="separate"/>
          </w:r>
          <w:r>
            <w:rPr>
              <w:rStyle w:val="20"/>
              <w:rFonts w:ascii="Times New Roman" w:hAnsi="Times New Roman"/>
              <w:sz w:val="24"/>
              <w:szCs w:val="24"/>
            </w:rPr>
            <w:t>二、实验仪器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_Toc169613374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left" w:pos="84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"_Toc169613375" </w:instrText>
          </w:r>
          <w:r>
            <w:fldChar w:fldCharType="separate"/>
          </w:r>
          <w:r>
            <w:rPr>
              <w:rStyle w:val="20"/>
              <w:rFonts w:ascii="Times New Roman" w:hAnsi="Times New Roman"/>
              <w:sz w:val="24"/>
              <w:szCs w:val="24"/>
            </w:rPr>
            <w:t>三、实验步骤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_Toc169613375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"_Toc169613376" </w:instrText>
          </w:r>
          <w:r>
            <w:fldChar w:fldCharType="separate"/>
          </w:r>
          <w:r>
            <w:rPr>
              <w:rStyle w:val="20"/>
              <w:rFonts w:ascii="Times New Roman" w:hAnsi="Times New Roman"/>
              <w:sz w:val="24"/>
              <w:szCs w:val="24"/>
            </w:rPr>
            <w:t>1.标本处理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_Toc169613376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"_Toc169613377" </w:instrText>
          </w:r>
          <w:r>
            <w:fldChar w:fldCharType="separate"/>
          </w:r>
          <w:r>
            <w:rPr>
              <w:rStyle w:val="20"/>
              <w:rFonts w:ascii="Times New Roman" w:hAnsi="Times New Roman"/>
              <w:sz w:val="24"/>
              <w:szCs w:val="24"/>
            </w:rPr>
            <w:t>血清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_Toc169613377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"_Toc169613378" </w:instrText>
          </w:r>
          <w:r>
            <w:fldChar w:fldCharType="separate"/>
          </w:r>
          <w:r>
            <w:rPr>
              <w:rStyle w:val="20"/>
              <w:rFonts w:ascii="Times New Roman" w:hAnsi="Times New Roman"/>
              <w:sz w:val="24"/>
              <w:szCs w:val="24"/>
            </w:rPr>
            <w:t>血浆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_Toc169613378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"_Toc169613379" </w:instrText>
          </w:r>
          <w:r>
            <w:fldChar w:fldCharType="separate"/>
          </w:r>
          <w:r>
            <w:rPr>
              <w:rStyle w:val="20"/>
              <w:rFonts w:ascii="Times New Roman" w:hAnsi="Times New Roman"/>
              <w:sz w:val="24"/>
              <w:szCs w:val="24"/>
            </w:rPr>
            <w:t>尿液、唾液等其他液体生物样本：</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_Toc169613379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"_Toc169613380" </w:instrText>
          </w:r>
          <w:r>
            <w:fldChar w:fldCharType="separate"/>
          </w:r>
          <w:r>
            <w:rPr>
              <w:rStyle w:val="20"/>
              <w:rFonts w:ascii="Times New Roman" w:hAnsi="Times New Roman"/>
              <w:sz w:val="24"/>
              <w:szCs w:val="24"/>
            </w:rPr>
            <w:t>2.上机前检查</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_Toc169613380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"_Toc169613381" </w:instrText>
          </w:r>
          <w:r>
            <w:fldChar w:fldCharType="separate"/>
          </w:r>
          <w:r>
            <w:rPr>
              <w:rStyle w:val="20"/>
              <w:rFonts w:ascii="Times New Roman" w:hAnsi="Times New Roman"/>
              <w:sz w:val="24"/>
              <w:szCs w:val="24"/>
            </w:rPr>
            <w:t>3.开机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_Toc169613381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"_Toc169613382" </w:instrText>
          </w:r>
          <w:r>
            <w:fldChar w:fldCharType="separate"/>
          </w:r>
          <w:r>
            <w:rPr>
              <w:rStyle w:val="20"/>
              <w:rFonts w:ascii="Times New Roman" w:hAnsi="Times New Roman"/>
              <w:sz w:val="24"/>
              <w:szCs w:val="24"/>
            </w:rPr>
            <w:t>4.确认仪器状态</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_Toc169613382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"_Toc169613383" </w:instrText>
          </w:r>
          <w:r>
            <w:fldChar w:fldCharType="separate"/>
          </w:r>
          <w:r>
            <w:rPr>
              <w:rStyle w:val="20"/>
              <w:rFonts w:ascii="Times New Roman" w:hAnsi="Times New Roman"/>
              <w:sz w:val="24"/>
              <w:szCs w:val="24"/>
            </w:rPr>
            <w:t>5.准备试剂</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_Toc169613383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"_Toc169613384" </w:instrText>
          </w:r>
          <w:r>
            <w:fldChar w:fldCharType="separate"/>
          </w:r>
          <w:r>
            <w:rPr>
              <w:rStyle w:val="20"/>
              <w:rFonts w:ascii="Times New Roman" w:hAnsi="Times New Roman"/>
              <w:sz w:val="24"/>
              <w:szCs w:val="24"/>
            </w:rPr>
            <w:t>6.质控测试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_Toc169613384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"_Toc169613385" </w:instrText>
          </w:r>
          <w:r>
            <w:fldChar w:fldCharType="separate"/>
          </w:r>
          <w:r>
            <w:rPr>
              <w:rStyle w:val="20"/>
              <w:rFonts w:ascii="Times New Roman" w:hAnsi="Times New Roman"/>
              <w:sz w:val="24"/>
              <w:szCs w:val="24"/>
            </w:rPr>
            <w:t>7.样本测试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_Toc169613385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left" w:pos="63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"_Toc169613386" </w:instrText>
          </w:r>
          <w:r>
            <w:fldChar w:fldCharType="separate"/>
          </w:r>
          <w:r>
            <w:rPr>
              <w:rStyle w:val="20"/>
              <w:rFonts w:ascii="Times New Roman" w:hAnsi="Times New Roman"/>
              <w:sz w:val="24"/>
              <w:szCs w:val="24"/>
            </w:rPr>
            <w:t>8.维护和关机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_Toc169613386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left" w:pos="840"/>
              <w:tab w:val="right" w:leader="dot" w:pos="9310"/>
            </w:tabs>
            <w:rPr>
              <w:rFonts w:ascii="Times New Roman" w:hAnsi="Times New Roman" w:eastAsiaTheme="minorEastAsia"/>
              <w:kern w:val="2"/>
              <w:sz w:val="24"/>
              <w:szCs w:val="24"/>
              <w14:ligatures w14:val="standardContextual"/>
            </w:rPr>
          </w:pPr>
          <w:r>
            <w:fldChar w:fldCharType="begin"/>
          </w:r>
          <w:r>
            <w:instrText xml:space="preserve"> HYPERLINK \l "_Toc169613387" </w:instrText>
          </w:r>
          <w:r>
            <w:fldChar w:fldCharType="separate"/>
          </w:r>
          <w:r>
            <w:rPr>
              <w:rStyle w:val="20"/>
              <w:rFonts w:ascii="Times New Roman" w:hAnsi="Times New Roman"/>
              <w:sz w:val="24"/>
              <w:szCs w:val="24"/>
            </w:rPr>
            <w:t>四、数据分析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_Toc169613387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rPr>
              <w:rFonts w:ascii="Times New Roman" w:hAnsi="Times New Roman"/>
              <w:sz w:val="24"/>
              <w:szCs w:val="24"/>
            </w:rPr>
          </w:pPr>
          <w:r>
            <w:rPr>
              <w:rFonts w:ascii="Times New Roman" w:hAnsi="Times New Roman"/>
              <w:bCs/>
              <w:sz w:val="24"/>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3" w:name="_Toc67067673"/>
      <w:bookmarkStart w:id="4" w:name="_Toc54712428"/>
      <w:bookmarkStart w:id="5" w:name="_Toc149670078"/>
      <w:bookmarkStart w:id="6" w:name="_Toc509220866"/>
      <w:bookmarkStart w:id="7" w:name="_Toc67061766"/>
      <w:bookmarkStart w:id="8" w:name="_Toc40709121"/>
      <w:bookmarkStart w:id="9" w:name="_Toc85906420"/>
      <w:bookmarkStart w:id="10" w:name="_Toc169613373"/>
      <w:r>
        <w:rPr>
          <w:rFonts w:eastAsiaTheme="minorEastAsia"/>
          <w:color w:val="000000" w:themeColor="text1"/>
          <w:sz w:val="28"/>
          <w:szCs w:val="28"/>
          <w14:textFill>
            <w14:solidFill>
              <w14:schemeClr w14:val="tx1"/>
            </w14:solidFill>
          </w14:textFill>
        </w:rPr>
        <w:t>样本信息</w:t>
      </w:r>
      <w:bookmarkEnd w:id="3"/>
      <w:bookmarkEnd w:id="4"/>
      <w:bookmarkEnd w:id="5"/>
      <w:bookmarkEnd w:id="6"/>
      <w:bookmarkEnd w:id="7"/>
      <w:bookmarkEnd w:id="8"/>
      <w:bookmarkEnd w:id="9"/>
      <w:bookmarkEnd w:id="10"/>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rPr>
          <w:sz w:val="24"/>
          <w:szCs w:val="24"/>
        </w:rPr>
      </w:pP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1" w:name="_Toc169613374"/>
      <w:bookmarkStart w:id="12" w:name="_Toc85906421"/>
      <w:bookmarkStart w:id="13" w:name="_Toc149670079"/>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59264;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11"/>
      <w:bookmarkEnd w:id="12"/>
      <w:bookmarkEnd w:id="13"/>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auto"/>
                <w:sz w:val="24"/>
                <w:szCs w:val="24"/>
              </w:rPr>
            </w:pPr>
            <w:r>
              <w:rPr>
                <w:rFonts w:hint="eastAsia" w:ascii="Times New Roman" w:hAnsi="Times New Roman" w:eastAsiaTheme="minorEastAsia"/>
                <w:b w:val="0"/>
                <w:bCs w:val="0"/>
                <w:color w:val="auto"/>
                <w:sz w:val="24"/>
                <w:szCs w:val="24"/>
              </w:rPr>
              <w:t>高速微量冷冻离心机</w:t>
            </w:r>
          </w:p>
        </w:tc>
        <w:tc>
          <w:tcPr>
            <w:tcW w:w="2842"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auto"/>
                <w:sz w:val="24"/>
                <w:szCs w:val="24"/>
              </w:rPr>
            </w:pPr>
            <w:r>
              <w:rPr>
                <w:rFonts w:ascii="Times New Roman" w:hAnsi="Times New Roman" w:eastAsiaTheme="minorEastAsia"/>
                <w:color w:val="auto"/>
                <w:sz w:val="24"/>
                <w:szCs w:val="24"/>
              </w:rPr>
              <w:t>SciloEGX</w:t>
            </w:r>
          </w:p>
        </w:tc>
        <w:tc>
          <w:tcPr>
            <w:tcW w:w="4000"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auto"/>
                <w:sz w:val="24"/>
                <w:szCs w:val="24"/>
              </w:rPr>
            </w:pPr>
            <w:r>
              <w:rPr>
                <w:rFonts w:ascii="Times New Roman" w:hAnsi="Times New Roman" w:eastAsiaTheme="minorEastAsia"/>
                <w:color w:val="auto"/>
                <w:sz w:val="24"/>
                <w:szCs w:val="24"/>
              </w:rPr>
              <w:t>CF1524R</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tcPr>
          <w:p>
            <w:pPr>
              <w:spacing w:after="50" w:line="360" w:lineRule="auto"/>
              <w:jc w:val="center"/>
              <w:rPr>
                <w:rFonts w:ascii="Times New Roman" w:hAnsi="Times New Roman" w:eastAsiaTheme="minorEastAsia"/>
                <w:b/>
                <w:bCs/>
                <w:color w:val="auto"/>
                <w:sz w:val="24"/>
                <w:szCs w:val="24"/>
              </w:rPr>
            </w:pPr>
            <w:r>
              <w:rPr>
                <w:rFonts w:ascii="Times New Roman" w:hAnsi="Times New Roman" w:eastAsiaTheme="minorEastAsia"/>
                <w:b w:val="0"/>
                <w:bCs w:val="0"/>
                <w:color w:val="auto"/>
                <w:sz w:val="24"/>
                <w:szCs w:val="24"/>
              </w:rPr>
              <w:t xml:space="preserve">纯水仪 </w:t>
            </w:r>
          </w:p>
        </w:tc>
        <w:tc>
          <w:tcPr>
            <w:tcW w:w="2842" w:type="dxa"/>
            <w:tcBorders>
              <w:tl2br w:val="nil"/>
              <w:tr2bl w:val="nil"/>
            </w:tcBorders>
          </w:tcPr>
          <w:p>
            <w:pPr>
              <w:spacing w:after="50" w:line="360" w:lineRule="auto"/>
              <w:jc w:val="center"/>
              <w:rPr>
                <w:rFonts w:ascii="Times New Roman" w:hAnsi="Times New Roman" w:eastAsiaTheme="minorEastAsia"/>
                <w:color w:val="auto"/>
                <w:sz w:val="24"/>
                <w:szCs w:val="24"/>
              </w:rPr>
            </w:pPr>
            <w:r>
              <w:rPr>
                <w:rFonts w:ascii="Times New Roman" w:hAnsi="Times New Roman" w:eastAsiaTheme="minorEastAsia"/>
                <w:color w:val="auto"/>
                <w:sz w:val="24"/>
                <w:szCs w:val="24"/>
              </w:rPr>
              <w:t>成都品成科技有限公司</w:t>
            </w:r>
          </w:p>
        </w:tc>
        <w:tc>
          <w:tcPr>
            <w:tcW w:w="4000" w:type="dxa"/>
            <w:tcBorders>
              <w:tl2br w:val="nil"/>
              <w:tr2bl w:val="nil"/>
            </w:tcBorders>
          </w:tcPr>
          <w:p>
            <w:pPr>
              <w:spacing w:after="50" w:line="360" w:lineRule="auto"/>
              <w:jc w:val="center"/>
              <w:rPr>
                <w:rFonts w:ascii="Times New Roman" w:hAnsi="Times New Roman" w:eastAsiaTheme="minorEastAsia"/>
                <w:color w:val="auto"/>
                <w:sz w:val="24"/>
                <w:szCs w:val="24"/>
              </w:rPr>
            </w:pPr>
            <w:r>
              <w:rPr>
                <w:rFonts w:ascii="Times New Roman" w:hAnsi="Times New Roman" w:eastAsiaTheme="minorEastAsia"/>
                <w:color w:val="auto"/>
                <w:sz w:val="24"/>
                <w:szCs w:val="24"/>
              </w:rPr>
              <w:t>PCJ-60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auto"/>
                <w:sz w:val="24"/>
                <w:szCs w:val="24"/>
              </w:rPr>
            </w:pPr>
            <w:r>
              <w:rPr>
                <w:rFonts w:hint="eastAsia" w:ascii="Times New Roman" w:hAnsi="Times New Roman" w:eastAsiaTheme="minorEastAsia"/>
                <w:b w:val="0"/>
                <w:bCs w:val="0"/>
                <w:color w:val="auto"/>
                <w:sz w:val="24"/>
                <w:szCs w:val="24"/>
              </w:rPr>
              <w:t>全自动生化分析仪</w:t>
            </w:r>
          </w:p>
        </w:tc>
        <w:tc>
          <w:tcPr>
            <w:tcW w:w="2842"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auto"/>
                <w:sz w:val="24"/>
                <w:szCs w:val="24"/>
              </w:rPr>
            </w:pPr>
            <w:r>
              <w:rPr>
                <w:rFonts w:hint="eastAsia" w:ascii="Times New Roman" w:hAnsi="Times New Roman" w:eastAsiaTheme="minorEastAsia"/>
                <w:color w:val="auto"/>
                <w:sz w:val="24"/>
                <w:szCs w:val="24"/>
              </w:rPr>
              <w:t>迈瑞</w:t>
            </w:r>
          </w:p>
        </w:tc>
        <w:tc>
          <w:tcPr>
            <w:tcW w:w="4000"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auto"/>
                <w:sz w:val="24"/>
                <w:szCs w:val="24"/>
              </w:rPr>
            </w:pPr>
            <w:r>
              <w:rPr>
                <w:rFonts w:hint="eastAsia" w:ascii="Times New Roman" w:hAnsi="Times New Roman" w:eastAsiaTheme="minorEastAsia"/>
                <w:color w:val="auto"/>
                <w:sz w:val="24"/>
                <w:szCs w:val="24"/>
              </w:rPr>
              <w:t>BS-360S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bookmarkStart w:id="14" w:name="_Toc457908951"/>
            <w:bookmarkEnd w:id="14"/>
            <w:bookmarkStart w:id="15" w:name="_Toc457909481"/>
            <w:bookmarkEnd w:id="15"/>
            <w:bookmarkStart w:id="16" w:name="_Toc85906423"/>
            <w:bookmarkStart w:id="17" w:name="_Toc149670081"/>
            <w:r>
              <w:rPr>
                <w:rFonts w:hint="eastAsia" w:ascii="Times New Roman" w:hAnsi="Times New Roman" w:eastAsiaTheme="minorEastAsia"/>
                <w:b w:val="0"/>
                <w:bCs w:val="0"/>
                <w:color w:val="000000" w:themeColor="text1"/>
                <w:sz w:val="24"/>
                <w:szCs w:val="24"/>
                <w14:textFill>
                  <w14:solidFill>
                    <w14:schemeClr w14:val="tx1"/>
                  </w14:solidFill>
                </w14:textFill>
              </w:rPr>
              <w:t>手动单通道移液器</w:t>
            </w:r>
          </w:p>
        </w:tc>
        <w:tc>
          <w:tcPr>
            <w:tcW w:w="2842" w:type="dxa"/>
            <w:tcBorders>
              <w:tl2br w:val="nil"/>
              <w:tr2bl w:val="nil"/>
            </w:tcBorders>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赛默飞</w:t>
            </w:r>
          </w:p>
        </w:tc>
        <w:tc>
          <w:tcPr>
            <w:tcW w:w="4000" w:type="dxa"/>
            <w:tcBorders>
              <w:tl2br w:val="nil"/>
              <w:tr2bl w:val="nil"/>
            </w:tcBorders>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4640040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手动单通道移液器</w:t>
            </w:r>
          </w:p>
        </w:tc>
        <w:tc>
          <w:tcPr>
            <w:tcW w:w="2842"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赛默飞</w:t>
            </w:r>
          </w:p>
        </w:tc>
        <w:tc>
          <w:tcPr>
            <w:tcW w:w="4000"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4640050</w:t>
            </w:r>
          </w:p>
        </w:tc>
      </w:tr>
    </w:tbl>
    <w:p>
      <w:pPr>
        <w:widowControl/>
        <w:jc w:val="left"/>
        <w:rPr>
          <w:rFonts w:eastAsiaTheme="minorEastAsia"/>
          <w:color w:val="000000" w:themeColor="text1"/>
          <w:sz w:val="28"/>
          <w:szCs w:val="28"/>
          <w14:textFill>
            <w14:solidFill>
              <w14:schemeClr w14:val="tx1"/>
            </w14:solidFill>
          </w14:textFill>
        </w:rPr>
      </w:pPr>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768"/>
        <w:gridCol w:w="2461"/>
        <w:gridCol w:w="3556"/>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461"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3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生化复合水平质控品</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105-007316-00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二氧化碳、总胆汁酸复合质控品</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105-020470-00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碱性清洗液</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博飞珂</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CP-J06-002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谷丙转氨酶（ALT）</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105-000442-00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谷草转氨酶（AST）</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105-000443-00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总胆红素（TBIL）</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105-000454-00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直接胆红素（DBIL）</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白蛋白（ALB）</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105-000450-00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碱性磷酸酶（ALP）</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105-000444-00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总胆汁酸(TBA)</w:t>
            </w:r>
          </w:p>
        </w:tc>
        <w:tc>
          <w:tcPr>
            <w:tcW w:w="2461"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105-000456-00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总蛋白(TP)</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105-015578-00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γ-谷氨酰转移酶(γ-GT)</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尿素(UREA)</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105-000452-00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肌酐(CREA)</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105-000457-00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尿酸(UA)</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105-000476-00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总胆固醇(T-CHO)</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105-000448-00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甘油三酯(TG)</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105-000449-00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高密度脂蛋白胆固醇(HDL-C)</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105-000463-00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低密度脂蛋白胆固醇(LDL-C)</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105-000464-00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葡萄糖（GLU）</w:t>
            </w:r>
          </w:p>
        </w:tc>
        <w:tc>
          <w:tcPr>
            <w:tcW w:w="2461"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105-000949-00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肌酸激酶(CK)</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105-000458-00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乳酸脱氢酶(LDH-L)</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105-000446-00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α-淀粉酶（α-AMY）</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105-000475-00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脂肪酶（LIP）</w:t>
            </w:r>
          </w:p>
        </w:tc>
        <w:tc>
          <w:tcPr>
            <w:tcW w:w="2461"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105-001537-00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钙(Ca)</w:t>
            </w:r>
          </w:p>
        </w:tc>
        <w:tc>
          <w:tcPr>
            <w:tcW w:w="2461"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shd w:val="clear" w:color="auto" w:fill="FDEADA" w:themeFill="accent6" w:themeFillTint="32"/>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105-000453-00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768" w:type="dxa"/>
            <w:tcBorders>
              <w:tl2br w:val="nil"/>
              <w:tr2bl w:val="nil"/>
            </w:tcBorders>
            <w:vAlign w:val="center"/>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糖化血红蛋白（HbA1c）</w:t>
            </w:r>
          </w:p>
        </w:tc>
        <w:tc>
          <w:tcPr>
            <w:tcW w:w="2461"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迈瑞</w:t>
            </w:r>
          </w:p>
        </w:tc>
        <w:tc>
          <w:tcPr>
            <w:tcW w:w="3556" w:type="dxa"/>
            <w:tcBorders>
              <w:tl2br w:val="nil"/>
              <w:tr2bl w:val="nil"/>
            </w:tcBorders>
            <w:vAlign w:val="center"/>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105-001698-00</w:t>
            </w:r>
          </w:p>
        </w:tc>
      </w:tr>
    </w:tbl>
    <w:p>
      <w:pPr>
        <w:widowControl/>
        <w:jc w:val="left"/>
        <w:rPr>
          <w:rFonts w:eastAsiaTheme="minorEastAsia"/>
          <w:color w:val="000000" w:themeColor="text1"/>
          <w:sz w:val="28"/>
          <w:szCs w:val="28"/>
          <w14:textFill>
            <w14:solidFill>
              <w14:schemeClr w14:val="tx1"/>
            </w14:solidFill>
          </w14:textFill>
        </w:rPr>
      </w:pPr>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离心管</w:t>
            </w:r>
          </w:p>
        </w:tc>
        <w:tc>
          <w:tcPr>
            <w:tcW w:w="2842"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LABSELECT</w:t>
            </w:r>
          </w:p>
        </w:tc>
        <w:tc>
          <w:tcPr>
            <w:tcW w:w="4000" w:type="dxa"/>
            <w:tcBorders>
              <w:tl2br w:val="nil"/>
              <w:tr2bl w:val="nil"/>
            </w:tcBorders>
            <w:shd w:val="clear" w:color="auto" w:fill="FDEADA" w:themeFill="accent6" w:themeFillTint="32"/>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MCT-001-150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tcPr>
          <w:p>
            <w:pPr>
              <w:spacing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移液器吸头</w:t>
            </w:r>
          </w:p>
        </w:tc>
        <w:tc>
          <w:tcPr>
            <w:tcW w:w="2842" w:type="dxa"/>
            <w:tcBorders>
              <w:tl2br w:val="nil"/>
              <w:tr2bl w:val="nil"/>
            </w:tcBorders>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LABSELECT</w:t>
            </w:r>
          </w:p>
        </w:tc>
        <w:tc>
          <w:tcPr>
            <w:tcW w:w="4000" w:type="dxa"/>
            <w:tcBorders>
              <w:tl2br w:val="nil"/>
              <w:tr2bl w:val="nil"/>
            </w:tcBorders>
          </w:tcPr>
          <w:p>
            <w:pPr>
              <w:spacing w:after="50" w:line="360" w:lineRule="auto"/>
              <w:jc w:val="center"/>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T-001-200</w:t>
            </w:r>
          </w:p>
        </w:tc>
      </w:tr>
    </w:tbl>
    <w:p>
      <w:pPr>
        <w:widowControl/>
        <w:jc w:val="left"/>
        <w:rPr>
          <w:rFonts w:eastAsiaTheme="minorEastAsia"/>
          <w:color w:val="000000" w:themeColor="text1"/>
          <w:sz w:val="28"/>
          <w:szCs w:val="28"/>
          <w14:textFill>
            <w14:solidFill>
              <w14:schemeClr w14:val="tx1"/>
            </w14:solidFill>
          </w14:textFill>
        </w:rPr>
      </w:pPr>
    </w:p>
    <w:p>
      <w:pPr>
        <w:widowControl/>
        <w:jc w:val="left"/>
        <w:rPr>
          <w:rFonts w:eastAsiaTheme="minorEastAsia"/>
          <w:color w:val="000000" w:themeColor="text1"/>
          <w:sz w:val="28"/>
          <w:szCs w:val="28"/>
          <w14:textFill>
            <w14:solidFill>
              <w14:schemeClr w14:val="tx1"/>
            </w14:solidFill>
          </w14:textFill>
        </w:rPr>
      </w:pPr>
    </w:p>
    <w:p>
      <w:pPr>
        <w:pStyle w:val="2"/>
        <w:numPr>
          <w:ilvl w:val="0"/>
          <w:numId w:val="3"/>
        </w:numPr>
        <w:spacing w:before="0" w:after="120" w:afterLines="50" w:line="360" w:lineRule="auto"/>
        <w:rPr>
          <w:rFonts w:eastAsiaTheme="minorEastAsia"/>
          <w:color w:val="000000" w:themeColor="text1"/>
          <w:sz w:val="28"/>
          <w:szCs w:val="28"/>
          <w14:textFill>
            <w14:solidFill>
              <w14:schemeClr w14:val="tx1"/>
            </w14:solidFill>
          </w14:textFill>
        </w:rPr>
      </w:pPr>
      <w:bookmarkStart w:id="18" w:name="_Toc169613375"/>
      <w:r>
        <w:rPr>
          <w:rFonts w:eastAsiaTheme="minorEastAsia"/>
          <w:color w:val="000000" w:themeColor="text1"/>
          <w:sz w:val="28"/>
          <w:szCs w:val="28"/>
          <w14:textFill>
            <w14:solidFill>
              <w14:schemeClr w14:val="tx1"/>
            </w14:solidFill>
          </w14:textFill>
        </w:rPr>
        <w:t>实验步骤</w:t>
      </w:r>
      <w:bookmarkEnd w:id="16"/>
      <w:bookmarkEnd w:id="17"/>
      <w:bookmarkEnd w:id="18"/>
    </w:p>
    <w:p>
      <w:pPr>
        <w:pStyle w:val="3"/>
        <w:numPr>
          <w:ilvl w:val="0"/>
          <w:numId w:val="4"/>
        </w:numPr>
        <w:spacing w:before="0" w:after="120" w:afterLines="50" w:line="360" w:lineRule="auto"/>
        <w:rPr>
          <w:rFonts w:ascii="Times New Roman" w:hAnsi="Times New Roman" w:eastAsiaTheme="minorEastAsia"/>
          <w:sz w:val="28"/>
          <w:szCs w:val="28"/>
        </w:rPr>
      </w:pPr>
      <w:bookmarkStart w:id="19" w:name="_Toc169613376"/>
      <w:r>
        <w:rPr>
          <w:rFonts w:hint="eastAsia" w:ascii="Times New Roman" w:hAnsi="Times New Roman" w:eastAsiaTheme="minorEastAsia"/>
          <w:sz w:val="28"/>
          <w:szCs w:val="28"/>
        </w:rPr>
        <w:t>标本处理</w:t>
      </w:r>
      <w:bookmarkEnd w:id="19"/>
    </w:p>
    <w:p>
      <w:pPr>
        <w:pStyle w:val="11"/>
        <w:spacing w:line="360" w:lineRule="auto"/>
        <w:jc w:val="left"/>
        <w:rPr>
          <w:rFonts w:ascii="Times New Roman" w:hAnsi="Times New Roman"/>
          <w:color w:val="E46C0A" w:themeColor="accent6" w:themeShade="BF"/>
          <w:sz w:val="24"/>
          <w:szCs w:val="24"/>
        </w:rPr>
      </w:pPr>
      <w:bookmarkStart w:id="20" w:name="_Toc86324235"/>
      <w:bookmarkStart w:id="21" w:name="_Toc24322"/>
      <w:bookmarkStart w:id="22" w:name="_Toc169613377"/>
      <w:bookmarkStart w:id="23" w:name="_Toc149670083"/>
      <w:bookmarkStart w:id="24" w:name="_Toc11774"/>
      <w:bookmarkStart w:id="25" w:name="_Toc11017"/>
      <w:r>
        <w:rPr>
          <w:rFonts w:ascii="Times New Roman" w:hAnsi="Times New Roman"/>
          <w:color w:val="E46C0A" w:themeColor="accent6" w:themeShade="BF"/>
          <w:sz w:val="24"/>
          <w:szCs w:val="24"/>
        </w:rPr>
        <mc:AlternateContent>
          <mc:Choice Requires="wps">
            <w:drawing>
              <wp:anchor distT="0" distB="0" distL="114300" distR="114300" simplePos="0" relativeHeight="251660288" behindDoc="0" locked="0" layoutInCell="0" allowOverlap="1">
                <wp:simplePos x="0" y="0"/>
                <wp:positionH relativeFrom="margin">
                  <wp:align>center</wp:align>
                </wp:positionH>
                <wp:positionV relativeFrom="margin">
                  <wp:align>center</wp:align>
                </wp:positionV>
                <wp:extent cx="209550" cy="1143000"/>
                <wp:effectExtent l="0" t="0" r="0" b="0"/>
                <wp:wrapNone/>
                <wp:docPr id="37" name="左中括号 37"/>
                <wp:cNvGraphicFramePr/>
                <a:graphic xmlns:a="http://schemas.openxmlformats.org/drawingml/2006/main">
                  <a:graphicData uri="http://schemas.microsoft.com/office/word/2010/wordprocessingShape">
                    <wps:wsp>
                      <wps:cNvSpPr/>
                      <wps:spPr bwMode="auto">
                        <a:xfrm>
                          <a:off x="0" y="0"/>
                          <a:ext cx="209550" cy="1143000"/>
                        </a:xfrm>
                        <a:prstGeom prst="leftBracket">
                          <a:avLst>
                            <a:gd name="adj" fmla="val 45455"/>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5" type="#_x0000_t85" style="position:absolute;left:0pt;height:90pt;width:16.5pt;mso-position-horizontal:center;mso-position-horizontal-relative:margin;mso-position-vertical:center;mso-position-vertical-relative:margin;z-index:251660288;mso-width-relative:page;mso-height-relative:page;" filled="f" stroked="f" coordsize="21600,21600" o:allowincell="f" o:gfxdata="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o95q0gAAAAQBAAAPAAAAAAAA&#10;AAEAIAAAACIAAABkcnMvZG93bnJldi54bWxQSwECFAAUAAAACACHTuJAsmE1MxgCAAAWBAAADgAA&#10;AAAAAAABACAAAAAhAQAAZHJzL2Uyb0RvYy54bWxQSwUGAAAAAAYABgBZAQAAqwUAAAAA&#10;" adj="1800">
                <v:fill on="f" focussize="0,0"/>
                <v:stroke on="f"/>
                <v:imagedata o:title=""/>
                <o:lock v:ext="edit" aspectratio="f"/>
              </v:shape>
            </w:pict>
          </mc:Fallback>
        </mc:AlternateContent>
      </w:r>
      <w:r>
        <w:rPr>
          <w:rFonts w:hint="eastAsia" w:ascii="Times New Roman" w:hAnsi="Times New Roman"/>
          <w:color w:val="E46C0A" w:themeColor="accent6" w:themeShade="BF"/>
          <w:sz w:val="24"/>
          <w:szCs w:val="24"/>
        </w:rPr>
        <w:t>血清</w:t>
      </w:r>
      <w:bookmarkEnd w:id="20"/>
      <w:bookmarkEnd w:id="21"/>
      <w:bookmarkEnd w:id="22"/>
      <w:bookmarkEnd w:id="23"/>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使用不含热原和内毒素的试管，操作过程中避免任何细胞刺激，收集血液后，室温血液自然凝固10-20分钟，3000 rpm离心10分钟，仔细收集上清，检测或者分装后-20 ℃或 -80 ℃保存，避免反复冻融。</w:t>
      </w:r>
    </w:p>
    <w:p>
      <w:pPr>
        <w:pStyle w:val="11"/>
        <w:spacing w:line="360" w:lineRule="auto"/>
        <w:jc w:val="left"/>
        <w:rPr>
          <w:rFonts w:ascii="Times New Roman" w:hAnsi="Times New Roman"/>
          <w:color w:val="E46C0A" w:themeColor="accent6" w:themeShade="BF"/>
          <w:sz w:val="24"/>
          <w:szCs w:val="24"/>
        </w:rPr>
      </w:pPr>
      <w:bookmarkStart w:id="26" w:name="_Toc4106"/>
      <w:bookmarkStart w:id="27" w:name="_Toc169613378"/>
      <w:r>
        <w:rPr>
          <w:rFonts w:hint="eastAsia" w:ascii="Times New Roman" w:hAnsi="Times New Roman"/>
          <w:color w:val="E46C0A" w:themeColor="accent6" w:themeShade="BF"/>
          <w:sz w:val="24"/>
          <w:szCs w:val="24"/>
        </w:rPr>
        <w:t>血浆</w:t>
      </w:r>
      <w:bookmarkEnd w:id="26"/>
      <w:bookmarkEnd w:id="27"/>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用含抗凝剂的采集管或离心管采集血液样本，样本采集后30分钟内，3000 rpm离心10-20分钟，取上清检测或者分装后-20 ℃或 - 80℃保存，避免反复冻融。保存过程中如有沉淀形成，应该再次离心。</w:t>
      </w:r>
    </w:p>
    <w:bookmarkEnd w:id="24"/>
    <w:p>
      <w:pPr>
        <w:pStyle w:val="11"/>
        <w:spacing w:line="360" w:lineRule="auto"/>
        <w:jc w:val="left"/>
        <w:rPr>
          <w:rFonts w:ascii="Times New Roman" w:hAnsi="Times New Roman"/>
          <w:color w:val="E46C0A" w:themeColor="accent6" w:themeShade="BF"/>
          <w:sz w:val="24"/>
          <w:szCs w:val="24"/>
        </w:rPr>
      </w:pPr>
      <w:bookmarkStart w:id="28" w:name="_Toc18719"/>
      <w:bookmarkStart w:id="29" w:name="_Toc169613379"/>
      <w:r>
        <w:rPr>
          <w:rFonts w:ascii="Times New Roman" w:hAnsi="Times New Roman"/>
          <w:color w:val="E46C0A" w:themeColor="accent6" w:themeShade="BF"/>
          <w:sz w:val="24"/>
          <w:szCs w:val="24"/>
        </w:rPr>
        <mc:AlternateContent>
          <mc:Choice Requires="wps">
            <w:drawing>
              <wp:anchor distT="0" distB="0" distL="114300" distR="114300" simplePos="0" relativeHeight="251661312" behindDoc="0" locked="0" layoutInCell="0" allowOverlap="1">
                <wp:simplePos x="0" y="0"/>
                <wp:positionH relativeFrom="margin">
                  <wp:posOffset>3311525</wp:posOffset>
                </wp:positionH>
                <wp:positionV relativeFrom="margin">
                  <wp:posOffset>4302125</wp:posOffset>
                </wp:positionV>
                <wp:extent cx="209550" cy="1143000"/>
                <wp:effectExtent l="0" t="0" r="0" b="0"/>
                <wp:wrapNone/>
                <wp:docPr id="9" name="左中括号 9"/>
                <wp:cNvGraphicFramePr/>
                <a:graphic xmlns:a="http://schemas.openxmlformats.org/drawingml/2006/main">
                  <a:graphicData uri="http://schemas.microsoft.com/office/word/2010/wordprocessingShape">
                    <wps:wsp>
                      <wps:cNvSpPr/>
                      <wps:spPr bwMode="auto">
                        <a:xfrm>
                          <a:off x="0" y="0"/>
                          <a:ext cx="209550" cy="1143000"/>
                        </a:xfrm>
                        <a:prstGeom prst="leftBracket">
                          <a:avLst>
                            <a:gd name="adj" fmla="val 45455"/>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5" type="#_x0000_t85" style="position:absolute;left:0pt;margin-left:260.75pt;margin-top:338.75pt;height:90pt;width:16.5pt;mso-position-horizontal-relative:margin;mso-position-vertical-relative:margin;z-index:251661312;mso-width-relative:page;mso-height-relative:page;" filled="f" stroked="f" coordsize="21600,21600" o:allowincell="f" o:gfxdata="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tm/hdgAAAALAQAADwAA&#10;AAAAAAABACAAAAAiAAAAZHJzL2Rvd25yZXYueG1sUEsBAhQAFAAAAAgAh07iQD1J0C0WAgAAFAQA&#10;AA4AAAAAAAAAAQAgAAAAJwEAAGRycy9lMm9Eb2MueG1sUEsFBgAAAAAGAAYAWQEAAK8FAAAAAA==&#10;" adj="1800">
                <v:fill on="f" focussize="0,0"/>
                <v:stroke on="f"/>
                <v:imagedata o:title=""/>
                <o:lock v:ext="edit" aspectratio="f"/>
              </v:shape>
            </w:pict>
          </mc:Fallback>
        </mc:AlternateContent>
      </w:r>
      <w:r>
        <w:rPr>
          <w:rFonts w:hint="eastAsia" w:ascii="Times New Roman" w:hAnsi="Times New Roman"/>
          <w:color w:val="E46C0A" w:themeColor="accent6" w:themeShade="BF"/>
          <w:sz w:val="24"/>
          <w:szCs w:val="24"/>
        </w:rPr>
        <w:t>尿液、唾液等其他液体生物样本</w:t>
      </w:r>
      <w:r>
        <w:rPr>
          <w:rFonts w:ascii="Times New Roman" w:hAnsi="Times New Roman"/>
          <w:color w:val="E46C0A" w:themeColor="accent6" w:themeShade="BF"/>
          <w:sz w:val="24"/>
          <w:szCs w:val="24"/>
        </w:rPr>
        <w:t>：</w:t>
      </w:r>
      <w:bookmarkEnd w:id="28"/>
      <w:bookmarkEnd w:id="29"/>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2000-3000×g离心10分钟，取上清检测或者分装后-20 ℃或 -80 ℃保存，避免反复冻融。保存过程中如有沉淀形成，应该再次离心。</w:t>
      </w:r>
    </w:p>
    <w:p>
      <w:pPr>
        <w:pStyle w:val="3"/>
        <w:numPr>
          <w:ilvl w:val="0"/>
          <w:numId w:val="4"/>
        </w:numPr>
        <w:spacing w:before="0" w:after="120" w:afterLines="50" w:line="360" w:lineRule="auto"/>
        <w:rPr>
          <w:rFonts w:ascii="Times New Roman" w:hAnsi="Times New Roman" w:eastAsiaTheme="minorEastAsia"/>
          <w:sz w:val="28"/>
          <w:szCs w:val="28"/>
        </w:rPr>
      </w:pPr>
      <w:bookmarkStart w:id="30" w:name="_Toc169613380"/>
      <w:r>
        <w:rPr>
          <w:rFonts w:hint="eastAsia" w:ascii="Times New Roman" w:hAnsi="Times New Roman" w:eastAsiaTheme="minorEastAsia"/>
          <w:sz w:val="28"/>
          <w:szCs w:val="28"/>
        </w:rPr>
        <w:t>上机前检查</w:t>
      </w:r>
      <w:bookmarkEnd w:id="30"/>
    </w:p>
    <w:bookmarkEnd w:id="25"/>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检查各项电源，开关是否正常，插头是否插好；检查水箱或其它外置储水容器是否有足够的去离子水；检查废液桶是否排空；检查采样针、搅拌杆是否弯折、有污物、挂液；检查样本/试剂盘中针强化清洗剂、稀释清洗剂余量是否充足。</w:t>
      </w:r>
    </w:p>
    <w:p>
      <w:pPr>
        <w:pStyle w:val="3"/>
        <w:numPr>
          <w:ilvl w:val="0"/>
          <w:numId w:val="4"/>
        </w:numPr>
        <w:spacing w:before="0" w:after="120" w:afterLines="50" w:line="360" w:lineRule="auto"/>
        <w:rPr>
          <w:rFonts w:ascii="Times New Roman" w:hAnsi="Times New Roman" w:eastAsiaTheme="minorEastAsia"/>
          <w:sz w:val="28"/>
          <w:szCs w:val="28"/>
        </w:rPr>
      </w:pPr>
      <w:bookmarkStart w:id="31" w:name="_Toc32465"/>
      <w:bookmarkStart w:id="32" w:name="_Toc169613381"/>
      <w:r>
        <w:rPr>
          <w:rFonts w:hint="eastAsia" w:ascii="Times New Roman" w:hAnsi="Times New Roman" w:eastAsiaTheme="minorEastAsia"/>
          <w:sz w:val="28"/>
          <w:szCs w:val="28"/>
        </w:rPr>
        <w:t>开机</w:t>
      </w:r>
      <w:bookmarkEnd w:id="31"/>
      <w:bookmarkEnd w:id="32"/>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依次打开分析部背面的主电源开关-分析部左侧的分析部电源开关-操作部显示器和主机电源；启动操作软件，在登录窗口中输入用户名和密码，点击确定，软件启动，仪器进入初始化流程。</w:t>
      </w:r>
    </w:p>
    <w:p>
      <w:pPr>
        <w:pStyle w:val="3"/>
        <w:numPr>
          <w:ilvl w:val="0"/>
          <w:numId w:val="4"/>
        </w:numPr>
        <w:spacing w:before="0" w:after="120" w:afterLines="50" w:line="360" w:lineRule="auto"/>
        <w:rPr>
          <w:rFonts w:ascii="Times New Roman" w:hAnsi="Times New Roman" w:eastAsiaTheme="minorEastAsia"/>
          <w:sz w:val="28"/>
          <w:szCs w:val="28"/>
        </w:rPr>
      </w:pPr>
      <w:bookmarkStart w:id="33" w:name="_Toc169613382"/>
      <w:bookmarkStart w:id="34" w:name="_Toc19761"/>
      <w:r>
        <w:rPr>
          <w:rFonts w:hint="eastAsia" w:ascii="Times New Roman" w:hAnsi="Times New Roman" w:eastAsiaTheme="minorEastAsia"/>
          <w:sz w:val="28"/>
          <w:szCs w:val="28"/>
        </w:rPr>
        <w:t>确认仪器状态</w:t>
      </w:r>
      <w:bookmarkEnd w:id="33"/>
      <w:bookmarkEnd w:id="34"/>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启动完成后，需要确认仪器的状态，包括：系统状态、故障报警状态、试剂/校准状态、维护报警状态和子系统状态。</w:t>
      </w:r>
    </w:p>
    <w:p>
      <w:pPr>
        <w:pStyle w:val="3"/>
        <w:numPr>
          <w:ilvl w:val="0"/>
          <w:numId w:val="4"/>
        </w:numPr>
        <w:spacing w:before="0" w:after="120" w:afterLines="50" w:line="360" w:lineRule="auto"/>
        <w:rPr>
          <w:rFonts w:ascii="Times New Roman" w:hAnsi="Times New Roman" w:eastAsiaTheme="minorEastAsia"/>
          <w:sz w:val="28"/>
          <w:szCs w:val="28"/>
        </w:rPr>
      </w:pPr>
      <w:bookmarkStart w:id="35" w:name="_Toc169613383"/>
      <w:bookmarkStart w:id="36" w:name="_Toc17817"/>
      <w:r>
        <w:rPr>
          <w:rFonts w:hint="eastAsia" w:ascii="Times New Roman" w:hAnsi="Times New Roman" w:eastAsiaTheme="minorEastAsia"/>
          <w:sz w:val="28"/>
          <w:szCs w:val="28"/>
        </w:rPr>
        <w:t>准备试剂</w:t>
      </w:r>
      <w:bookmarkEnd w:id="35"/>
      <w:bookmarkEnd w:id="36"/>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确认完仪器状态后，准备当天测量使用的试剂，包括：生化试剂、稀释清洗液、针清洗液、生理盐水。</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打开样本/试剂盘盖，将试剂放置在试剂盘的空闲位置上，打开试剂瓶盖，盖上样本/试剂盘盖，点击装载完成。</w:t>
      </w:r>
    </w:p>
    <w:p>
      <w:pPr>
        <w:pStyle w:val="3"/>
        <w:numPr>
          <w:ilvl w:val="0"/>
          <w:numId w:val="4"/>
        </w:numPr>
        <w:spacing w:before="0" w:after="120" w:afterLines="50" w:line="360" w:lineRule="auto"/>
        <w:rPr>
          <w:rFonts w:ascii="Times New Roman" w:hAnsi="Times New Roman" w:eastAsiaTheme="minorEastAsia"/>
          <w:sz w:val="28"/>
          <w:szCs w:val="28"/>
        </w:rPr>
      </w:pPr>
      <w:bookmarkStart w:id="37" w:name="_Toc12219"/>
      <w:bookmarkStart w:id="38" w:name="_Toc169613384"/>
      <w:r>
        <w:rPr>
          <w:rFonts w:hint="eastAsia" w:ascii="Times New Roman" w:hAnsi="Times New Roman" w:eastAsiaTheme="minorEastAsia"/>
          <w:sz w:val="28"/>
          <w:szCs w:val="28"/>
        </w:rPr>
        <w:t>质控测试</w:t>
      </w:r>
      <w:bookmarkEnd w:id="37"/>
      <w:bookmarkEnd w:id="38"/>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选择申请-质控；依次选择所需要测试的质控品、质控品将要放置的位置、质控品使用的样本杯类型、需要进行质控测试的项目，点击确定。</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准备质控品，将其装载到相对应的样本盘位置上。</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点击开始按钮；打开开始测试选择窗口，选择质控申请所在的样本盘和质控申请所需试剂所在的试剂盘，点击确定，开始质控测试。</w:t>
      </w:r>
    </w:p>
    <w:p>
      <w:pPr>
        <w:pStyle w:val="3"/>
        <w:numPr>
          <w:ilvl w:val="0"/>
          <w:numId w:val="4"/>
        </w:numPr>
        <w:spacing w:before="0" w:after="120" w:afterLines="50" w:line="360" w:lineRule="auto"/>
        <w:rPr>
          <w:rFonts w:ascii="Times New Roman" w:hAnsi="Times New Roman" w:eastAsiaTheme="minorEastAsia"/>
          <w:sz w:val="28"/>
          <w:szCs w:val="28"/>
        </w:rPr>
      </w:pPr>
      <w:bookmarkStart w:id="39" w:name="_Toc15730"/>
      <w:bookmarkStart w:id="40" w:name="_Toc169613385"/>
      <w:r>
        <w:rPr>
          <w:rFonts w:hint="eastAsia" w:ascii="Times New Roman" w:hAnsi="Times New Roman" w:eastAsiaTheme="minorEastAsia"/>
          <w:sz w:val="28"/>
          <w:szCs w:val="28"/>
        </w:rPr>
        <w:t>样本测试</w:t>
      </w:r>
      <w:bookmarkEnd w:id="39"/>
      <w:bookmarkEnd w:id="40"/>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选择申请-样本；设置样本信息，包括：样本编号、盘号和位置、样本类型等；选择需要测试的项目，点击确定。</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准备样本，将其放在相对应的样本盘位置上。</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点击开始按钮；打开开始测试选择窗口，选择样本申请所在的样本盘和测试所使用的试剂盘，选择样本测试范围，点击确定，开始测试。</w:t>
      </w:r>
    </w:p>
    <w:p>
      <w:pPr>
        <w:pStyle w:val="3"/>
        <w:numPr>
          <w:ilvl w:val="0"/>
          <w:numId w:val="4"/>
        </w:numPr>
        <w:spacing w:before="0" w:after="120" w:afterLines="50" w:line="360" w:lineRule="auto"/>
        <w:rPr>
          <w:rFonts w:ascii="Times New Roman" w:hAnsi="Times New Roman" w:eastAsiaTheme="minorEastAsia"/>
          <w:sz w:val="28"/>
          <w:szCs w:val="28"/>
        </w:rPr>
      </w:pPr>
      <w:bookmarkStart w:id="41" w:name="_Toc7527"/>
      <w:bookmarkStart w:id="42" w:name="_Toc169613386"/>
      <w:r>
        <w:rPr>
          <w:rFonts w:hint="eastAsia" w:ascii="Times New Roman" w:hAnsi="Times New Roman" w:eastAsiaTheme="minorEastAsia"/>
          <w:sz w:val="28"/>
          <w:szCs w:val="28"/>
        </w:rPr>
        <w:t>维护和关机</w:t>
      </w:r>
      <w:bookmarkEnd w:id="41"/>
      <w:bookmarkEnd w:id="42"/>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维护：根据日常维护列表中的维护项目以及显示为黄色的维护项目对仪器进行维护，包括：检查采样针/搅拌杆/清洗池、检查更新去离子水桶和管路、检查更新稀释清洗剂桶和管路、检查废液链接、检查更新强化清洗剂、清洗电极管路。</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关机：确认系统处于“空闲”状态，选择退出-关机；依次关闭操作部显示器电源、分析部左侧的分析部电源、分析部背面的主电源。</w:t>
      </w:r>
    </w:p>
    <w:p>
      <w:pPr>
        <w:spacing w:after="120" w:afterLines="50"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关闭电源后，取出校准品、质控品和样本，检查分析部台面是否沾有污渍，检查废液桶。</w:t>
      </w:r>
    </w:p>
    <w:p>
      <w:pPr>
        <w:pStyle w:val="2"/>
        <w:numPr>
          <w:ilvl w:val="0"/>
          <w:numId w:val="3"/>
        </w:numPr>
        <w:spacing w:before="0" w:after="120" w:afterLines="50" w:line="360" w:lineRule="auto"/>
        <w:rPr>
          <w:rFonts w:eastAsiaTheme="minorEastAsia"/>
          <w:sz w:val="28"/>
          <w:szCs w:val="28"/>
        </w:rPr>
      </w:pPr>
      <w:bookmarkStart w:id="43" w:name="_Toc169613387"/>
      <w:r>
        <w:rPr>
          <w:rFonts w:hint="eastAsia" w:eastAsiaTheme="minorEastAsia"/>
          <w:sz w:val="28"/>
          <w:szCs w:val="28"/>
        </w:rPr>
        <w:t>数据分析</w:t>
      </w:r>
      <w:bookmarkEnd w:id="43"/>
    </w:p>
    <w:p>
      <w:pPr>
        <w:spacing w:line="360" w:lineRule="auto"/>
        <w:rPr>
          <w:rStyle w:val="18"/>
          <w:rFonts w:ascii="Times New Roman" w:hAnsi="Times New Roman" w:eastAsiaTheme="minorEastAsia"/>
          <w:color w:val="FF0000"/>
          <w:sz w:val="24"/>
          <w:szCs w:val="24"/>
        </w:rPr>
      </w:pPr>
    </w:p>
    <w:p>
      <w:pPr>
        <w:spacing w:line="360" w:lineRule="auto"/>
        <w:rPr>
          <w:rFonts w:ascii="Times New Roman" w:hAnsi="Times New Roman" w:eastAsiaTheme="minorEastAsia"/>
          <w:b/>
          <w:bCs/>
          <w:sz w:val="24"/>
          <w:szCs w:val="24"/>
        </w:rPr>
      </w:pPr>
      <w:r>
        <w:rPr>
          <w:rStyle w:val="18"/>
          <w:rFonts w:ascii="Times New Roman" w:hAnsi="Times New Roman" w:eastAsiaTheme="minorEastAsia"/>
          <w:color w:val="FF0000"/>
          <w:sz w:val="24"/>
          <w:szCs w:val="24"/>
        </w:rPr>
        <w:t>详细实验结果见附件一、附件二</w:t>
      </w: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8480"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8480;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7456;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70528"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70528;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9504"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9504;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95A6E96"/>
    <w:multiLevelType w:val="multilevel"/>
    <w:tmpl w:val="695A6E9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2431"/>
    <w:rsid w:val="00015402"/>
    <w:rsid w:val="000154A7"/>
    <w:rsid w:val="00020771"/>
    <w:rsid w:val="00022BE1"/>
    <w:rsid w:val="00027E30"/>
    <w:rsid w:val="000346AA"/>
    <w:rsid w:val="00042CFA"/>
    <w:rsid w:val="00044722"/>
    <w:rsid w:val="00044BBA"/>
    <w:rsid w:val="00046AE8"/>
    <w:rsid w:val="00046F2A"/>
    <w:rsid w:val="0005499D"/>
    <w:rsid w:val="000549BC"/>
    <w:rsid w:val="0005736D"/>
    <w:rsid w:val="00057B1B"/>
    <w:rsid w:val="00065FD1"/>
    <w:rsid w:val="0007214D"/>
    <w:rsid w:val="000724DB"/>
    <w:rsid w:val="0008097C"/>
    <w:rsid w:val="00080C88"/>
    <w:rsid w:val="000826F5"/>
    <w:rsid w:val="00082ED7"/>
    <w:rsid w:val="00084417"/>
    <w:rsid w:val="00087642"/>
    <w:rsid w:val="00087CB8"/>
    <w:rsid w:val="00097A4C"/>
    <w:rsid w:val="00097B8C"/>
    <w:rsid w:val="000A3485"/>
    <w:rsid w:val="000A3772"/>
    <w:rsid w:val="000B1188"/>
    <w:rsid w:val="000B6017"/>
    <w:rsid w:val="000B7194"/>
    <w:rsid w:val="000B71BB"/>
    <w:rsid w:val="000B7DF9"/>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4C50"/>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8F6BD3"/>
    <w:rsid w:val="00900EDB"/>
    <w:rsid w:val="00903F79"/>
    <w:rsid w:val="00905903"/>
    <w:rsid w:val="00917E6D"/>
    <w:rsid w:val="00920FA4"/>
    <w:rsid w:val="00921C94"/>
    <w:rsid w:val="0092268E"/>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23EC"/>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17CD9"/>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80552"/>
    <w:rsid w:val="00F811A7"/>
    <w:rsid w:val="00F8185C"/>
    <w:rsid w:val="00FA04E9"/>
    <w:rsid w:val="00FA1E10"/>
    <w:rsid w:val="00FA3198"/>
    <w:rsid w:val="00FA3C63"/>
    <w:rsid w:val="00FA71B4"/>
    <w:rsid w:val="00FA7DA3"/>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940A9"/>
    <w:rsid w:val="052E4C85"/>
    <w:rsid w:val="058802DD"/>
    <w:rsid w:val="05FD3B43"/>
    <w:rsid w:val="062400EF"/>
    <w:rsid w:val="06484E98"/>
    <w:rsid w:val="06556E39"/>
    <w:rsid w:val="06612F91"/>
    <w:rsid w:val="06E83375"/>
    <w:rsid w:val="06EF6A97"/>
    <w:rsid w:val="07B371BD"/>
    <w:rsid w:val="07DC617E"/>
    <w:rsid w:val="07E14125"/>
    <w:rsid w:val="084760C7"/>
    <w:rsid w:val="085B3E0D"/>
    <w:rsid w:val="08CA17C6"/>
    <w:rsid w:val="08EA6A22"/>
    <w:rsid w:val="09154EB8"/>
    <w:rsid w:val="09645BFD"/>
    <w:rsid w:val="0A5D72DC"/>
    <w:rsid w:val="0AB945A1"/>
    <w:rsid w:val="0B8C31F9"/>
    <w:rsid w:val="0BF202F5"/>
    <w:rsid w:val="0D1F336B"/>
    <w:rsid w:val="0E504C09"/>
    <w:rsid w:val="0E9D6BBB"/>
    <w:rsid w:val="0ECE0394"/>
    <w:rsid w:val="0EFA5E48"/>
    <w:rsid w:val="0F326BA0"/>
    <w:rsid w:val="0F841987"/>
    <w:rsid w:val="108F368D"/>
    <w:rsid w:val="120C61ED"/>
    <w:rsid w:val="13136145"/>
    <w:rsid w:val="135F33F5"/>
    <w:rsid w:val="14027288"/>
    <w:rsid w:val="140C23A5"/>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314C2"/>
    <w:rsid w:val="1AE90104"/>
    <w:rsid w:val="1B0A5D65"/>
    <w:rsid w:val="1B3F285C"/>
    <w:rsid w:val="1C1856EB"/>
    <w:rsid w:val="1CB440FB"/>
    <w:rsid w:val="1CED02F1"/>
    <w:rsid w:val="1D2D43D9"/>
    <w:rsid w:val="1D781EA3"/>
    <w:rsid w:val="1E630C0C"/>
    <w:rsid w:val="1E8539B9"/>
    <w:rsid w:val="1E9B7A75"/>
    <w:rsid w:val="1FBE71E9"/>
    <w:rsid w:val="20282FFF"/>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7FA25B3"/>
    <w:rsid w:val="28117266"/>
    <w:rsid w:val="287C4974"/>
    <w:rsid w:val="28C747BD"/>
    <w:rsid w:val="29876764"/>
    <w:rsid w:val="29E54C96"/>
    <w:rsid w:val="2A6E72C4"/>
    <w:rsid w:val="2AF21C5F"/>
    <w:rsid w:val="2AFD6FC6"/>
    <w:rsid w:val="2B053FA0"/>
    <w:rsid w:val="2B6A3B8F"/>
    <w:rsid w:val="2D2307FE"/>
    <w:rsid w:val="2D3F6270"/>
    <w:rsid w:val="2DC91D7E"/>
    <w:rsid w:val="2DD64F02"/>
    <w:rsid w:val="2E106463"/>
    <w:rsid w:val="2F024A8F"/>
    <w:rsid w:val="2F2B080B"/>
    <w:rsid w:val="2F453924"/>
    <w:rsid w:val="2F57341F"/>
    <w:rsid w:val="306A53C9"/>
    <w:rsid w:val="30AA0DE7"/>
    <w:rsid w:val="311A06DB"/>
    <w:rsid w:val="31A524C4"/>
    <w:rsid w:val="31D9148B"/>
    <w:rsid w:val="32C835A9"/>
    <w:rsid w:val="332E2F29"/>
    <w:rsid w:val="33825DDD"/>
    <w:rsid w:val="340A7DC1"/>
    <w:rsid w:val="34503692"/>
    <w:rsid w:val="34525525"/>
    <w:rsid w:val="367A7D64"/>
    <w:rsid w:val="372A65C9"/>
    <w:rsid w:val="37B72FAF"/>
    <w:rsid w:val="387E5340"/>
    <w:rsid w:val="394B330A"/>
    <w:rsid w:val="395F436A"/>
    <w:rsid w:val="39637B15"/>
    <w:rsid w:val="3B7F4860"/>
    <w:rsid w:val="3B7FEF2B"/>
    <w:rsid w:val="3BA879C6"/>
    <w:rsid w:val="3BB84F93"/>
    <w:rsid w:val="3C015C45"/>
    <w:rsid w:val="3CB274A9"/>
    <w:rsid w:val="3DE53B38"/>
    <w:rsid w:val="3E23681F"/>
    <w:rsid w:val="40257BBA"/>
    <w:rsid w:val="41EA6017"/>
    <w:rsid w:val="42107BEE"/>
    <w:rsid w:val="421C381E"/>
    <w:rsid w:val="426C1B24"/>
    <w:rsid w:val="42A51C96"/>
    <w:rsid w:val="43C27FD1"/>
    <w:rsid w:val="43FF39E1"/>
    <w:rsid w:val="444B012A"/>
    <w:rsid w:val="4597370E"/>
    <w:rsid w:val="46D70238"/>
    <w:rsid w:val="47804A75"/>
    <w:rsid w:val="479E4324"/>
    <w:rsid w:val="47C161FF"/>
    <w:rsid w:val="47D7CDC5"/>
    <w:rsid w:val="482C4A17"/>
    <w:rsid w:val="48D92DDC"/>
    <w:rsid w:val="49735CE2"/>
    <w:rsid w:val="49FFFB19"/>
    <w:rsid w:val="4B12476D"/>
    <w:rsid w:val="4B154B9B"/>
    <w:rsid w:val="4B7655EE"/>
    <w:rsid w:val="4C0814C4"/>
    <w:rsid w:val="4C9F0FD7"/>
    <w:rsid w:val="4D7549E6"/>
    <w:rsid w:val="4DC909D0"/>
    <w:rsid w:val="4E4C49A6"/>
    <w:rsid w:val="4EF83B47"/>
    <w:rsid w:val="4FAF27B1"/>
    <w:rsid w:val="4FD82DAE"/>
    <w:rsid w:val="4FFA6B7D"/>
    <w:rsid w:val="501D3E00"/>
    <w:rsid w:val="503F0BFC"/>
    <w:rsid w:val="509B71DF"/>
    <w:rsid w:val="51002139"/>
    <w:rsid w:val="51E056AD"/>
    <w:rsid w:val="531242BB"/>
    <w:rsid w:val="53342971"/>
    <w:rsid w:val="534327B1"/>
    <w:rsid w:val="54AC42D6"/>
    <w:rsid w:val="54FB217D"/>
    <w:rsid w:val="551B6739"/>
    <w:rsid w:val="551E569C"/>
    <w:rsid w:val="557F01C6"/>
    <w:rsid w:val="567C2762"/>
    <w:rsid w:val="56AC2486"/>
    <w:rsid w:val="57A5105B"/>
    <w:rsid w:val="58046889"/>
    <w:rsid w:val="586E37F0"/>
    <w:rsid w:val="587A136B"/>
    <w:rsid w:val="59D40607"/>
    <w:rsid w:val="5B740BC8"/>
    <w:rsid w:val="5B947BDB"/>
    <w:rsid w:val="5C2268F0"/>
    <w:rsid w:val="5D04101B"/>
    <w:rsid w:val="5D5E6C15"/>
    <w:rsid w:val="5D6C25E4"/>
    <w:rsid w:val="5DD60239"/>
    <w:rsid w:val="5EA96E87"/>
    <w:rsid w:val="5EF6747A"/>
    <w:rsid w:val="5F6F7686"/>
    <w:rsid w:val="5FBF45DE"/>
    <w:rsid w:val="60DD4922"/>
    <w:rsid w:val="628D2EDB"/>
    <w:rsid w:val="62C54F90"/>
    <w:rsid w:val="62C91468"/>
    <w:rsid w:val="62F537D8"/>
    <w:rsid w:val="63035AB9"/>
    <w:rsid w:val="6370733A"/>
    <w:rsid w:val="63BF1E11"/>
    <w:rsid w:val="64AC6391"/>
    <w:rsid w:val="66251F2C"/>
    <w:rsid w:val="66AB04AA"/>
    <w:rsid w:val="66BD32BC"/>
    <w:rsid w:val="66E5229D"/>
    <w:rsid w:val="67592E6B"/>
    <w:rsid w:val="67FC6E05"/>
    <w:rsid w:val="68C75D5B"/>
    <w:rsid w:val="69A022B3"/>
    <w:rsid w:val="69BB5AF7"/>
    <w:rsid w:val="69D3282D"/>
    <w:rsid w:val="69EA4D4A"/>
    <w:rsid w:val="6A670E11"/>
    <w:rsid w:val="6AAF5D15"/>
    <w:rsid w:val="6B5478DD"/>
    <w:rsid w:val="6B6EFD75"/>
    <w:rsid w:val="6BBC0310"/>
    <w:rsid w:val="6C16401E"/>
    <w:rsid w:val="6C40624E"/>
    <w:rsid w:val="6C876B11"/>
    <w:rsid w:val="6C9D4404"/>
    <w:rsid w:val="6DAE0693"/>
    <w:rsid w:val="6F56024D"/>
    <w:rsid w:val="6F954DC1"/>
    <w:rsid w:val="6FF5944C"/>
    <w:rsid w:val="704A6721"/>
    <w:rsid w:val="7057541D"/>
    <w:rsid w:val="70AE6992"/>
    <w:rsid w:val="71037512"/>
    <w:rsid w:val="710D5957"/>
    <w:rsid w:val="712D08D1"/>
    <w:rsid w:val="71345513"/>
    <w:rsid w:val="71FE083E"/>
    <w:rsid w:val="72231CD3"/>
    <w:rsid w:val="728F558F"/>
    <w:rsid w:val="72916C3D"/>
    <w:rsid w:val="72B1469D"/>
    <w:rsid w:val="72BFCEBA"/>
    <w:rsid w:val="72FD2F7E"/>
    <w:rsid w:val="73306683"/>
    <w:rsid w:val="738B162F"/>
    <w:rsid w:val="73A50172"/>
    <w:rsid w:val="73BD3074"/>
    <w:rsid w:val="74526350"/>
    <w:rsid w:val="74566E91"/>
    <w:rsid w:val="74774706"/>
    <w:rsid w:val="74C63A27"/>
    <w:rsid w:val="74D23626"/>
    <w:rsid w:val="75325667"/>
    <w:rsid w:val="75FE6CDF"/>
    <w:rsid w:val="761D1BA4"/>
    <w:rsid w:val="76685F07"/>
    <w:rsid w:val="76996EEE"/>
    <w:rsid w:val="7814095E"/>
    <w:rsid w:val="79740900"/>
    <w:rsid w:val="7AC41D91"/>
    <w:rsid w:val="7ACC449A"/>
    <w:rsid w:val="7BA53563"/>
    <w:rsid w:val="7BB824AC"/>
    <w:rsid w:val="7BDFD733"/>
    <w:rsid w:val="7BFDDE37"/>
    <w:rsid w:val="7C4160FC"/>
    <w:rsid w:val="7C7F66A3"/>
    <w:rsid w:val="7CEF73E6"/>
    <w:rsid w:val="7D1F067E"/>
    <w:rsid w:val="7D3F6BA5"/>
    <w:rsid w:val="7D5E14FB"/>
    <w:rsid w:val="7D920635"/>
    <w:rsid w:val="7E0B0D0A"/>
    <w:rsid w:val="7E747036"/>
    <w:rsid w:val="7EDEEC59"/>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next w:val="1"/>
    <w:qFormat/>
    <w:uiPriority w:val="0"/>
    <w:pPr>
      <w:spacing w:line="380" w:lineRule="exact"/>
      <w:jc w:val="center"/>
    </w:pPr>
    <w:rPr>
      <w:rFonts w:cs="微软雅黑"/>
      <w:bCs/>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2872</Words>
  <Characters>3418</Characters>
  <Lines>33</Lines>
  <Paragraphs>9</Paragraphs>
  <TotalTime>0</TotalTime>
  <ScaleCrop>false</ScaleCrop>
  <LinksUpToDate>false</LinksUpToDate>
  <CharactersWithSpaces>3531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2024-07-10T09:22:51Z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E5ED9A9F42CA4482A04416E27CB1B0BC_13</vt:lpwstr>
  </property>
</Properties>
</file>